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C91" w:rsidRPr="00F72E4E" w:rsidRDefault="00F72E4E" w:rsidP="00F72E4E">
      <w:pPr>
        <w:jc w:val="right"/>
        <w:rPr>
          <w:sz w:val="28"/>
          <w:szCs w:val="28"/>
        </w:rPr>
      </w:pPr>
      <w:r w:rsidRPr="00F72E4E">
        <w:rPr>
          <w:sz w:val="28"/>
          <w:szCs w:val="28"/>
        </w:rPr>
        <w:t>Załącznik nr 2</w:t>
      </w:r>
    </w:p>
    <w:p w:rsidR="00F72E4E" w:rsidRDefault="00F72E4E">
      <w:r>
        <w:rPr>
          <w:b/>
          <w:bCs/>
          <w:color w:val="FF0000"/>
          <w:sz w:val="28"/>
          <w:szCs w:val="28"/>
        </w:rPr>
        <w:t>Oznakowanie</w:t>
      </w:r>
      <w:r w:rsidRPr="00F72E4E">
        <w:rPr>
          <w:b/>
          <w:bCs/>
          <w:color w:val="FF0000"/>
          <w:sz w:val="28"/>
          <w:szCs w:val="28"/>
        </w:rPr>
        <w:t xml:space="preserve"> do wyceny z uwzględnieniem słupków, obejm oraz montażu – zgodnie z zatwierdzonymi projektami stałej organizacji ruchu</w:t>
      </w:r>
    </w:p>
    <w:tbl>
      <w:tblPr>
        <w:tblW w:w="13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690"/>
        <w:gridCol w:w="567"/>
        <w:gridCol w:w="3827"/>
        <w:gridCol w:w="993"/>
        <w:gridCol w:w="1865"/>
        <w:gridCol w:w="1678"/>
        <w:gridCol w:w="1843"/>
      </w:tblGrid>
      <w:tr w:rsidR="00F72E4E" w:rsidRPr="00F72E4E" w:rsidTr="005B7C1F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Rodzaj znaku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Liczba [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]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Rozmiar/rodzaj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brutto</w:t>
            </w: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[zł]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PRZYSTANKI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Cianowice Marianów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ind w:left="-1246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linia P-7d (zgodnie z projektem SOR)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Cianowice Małe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Przybysławice Krzyżówka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B-34 – koniec ograniczenia prędkości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Cianowice Duże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Barbarka Poręba Laskowska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60)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B-34 – koniec ograniczenia prędkości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Cianowice Duże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Barbarka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D-15 ,,przystanek autobusowy''' dwustronny znak pionowy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linia pozioma P-17 o </w:t>
            </w:r>
            <w:proofErr w:type="spellStart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dł</w:t>
            </w:r>
            <w:proofErr w:type="spellEnd"/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cienkowarstwowe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B-34 – koniec ograniczenia prędkości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 PROJEKTY SOR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Próg Skała ul. Ojcowska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próg zwalniający wyspowy U-16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A-11a nierówna droga z tabliczką ,,20 m”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30) z tabliczką T-20 ,,20 m”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oznakowanie poziome P-4, P-1e, P-25 (zgodnie z projektem SOR)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grubowarstwowe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Próg Skała ul. Połetka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próg zwalniający wyspowy U-16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A-11a nierówna droga z tabliczką ,,20 m”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B-33 (ograniczenie do 30) z tabliczką T-20 ,,20 m”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oznakowanie poziome P-4, P-1e, P-25 (zgodnie z projektem SOR)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grubowarstwowe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Przejście dla pieszych ul. Rzeplińska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obustronny znak pionowy D-6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znak poziomy P-10 (zgodnie z projektem SOR)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grubowarstwowe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oznakowanie poziome P-4, P-1e, P-14 (zgodnie z projektem SOR)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grubowarstwowe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Gołębia Topolowa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B-20 stop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średnie (S)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C-8 z tabliczką T-22 (nie dotyczy rowerów)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85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Zmiana lokalizacji znaku B-21 z tabliczką T-22 (nie dotyczy rowerów)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B-22 z tabliczką T-22 (nie dotyczy rowerów)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D-3 z tabliczką T-22 (nie dotyczy rowerów)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B-2 z tabliczką T-22 (nie dotyczy rowerów)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114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tabliczka o treści ,,Nie dotyczy mieszkańców budynków przy ul. Wąskiej 2, 4, 5A oraz ul. Graniczna 4”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 droga z pierwszeństwem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B-36 zakaz zatrzymywania się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T-25b tabliczka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T-25a tabliczka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obustronny znak pionowy D-6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oznakowanie poziome P-10 (14m</w:t>
            </w: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vertAlign w:val="superscript"/>
                <w:lang w:eastAsia="pl-PL"/>
                <w14:ligatures w14:val="none"/>
              </w:rPr>
              <w:t xml:space="preserve">2 </w:t>
            </w: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grubowarstwowe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5B7C1F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Zmiana lokalizacji znaku B-43 -strefa ograniczonej prędkości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F72E4E">
        <w:trPr>
          <w:trHeight w:val="86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Zmiana lokalizacji znaku B-44 – koniec strefy ograniczonej prędkości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F72E4E" w:rsidRPr="00F72E4E" w:rsidTr="00C53957">
        <w:trPr>
          <w:trHeight w:val="86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4E" w:rsidRPr="00F72E4E" w:rsidRDefault="00F72E4E" w:rsidP="00F72E4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72E4E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E4E" w:rsidRPr="00F72E4E" w:rsidRDefault="00F72E4E" w:rsidP="005B7C1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F72E4E" w:rsidRDefault="00F72E4E"/>
    <w:sectPr w:rsidR="00F72E4E" w:rsidSect="00EA41EE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EA41EE"/>
    <w:rsid w:val="00F72E4E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66D3"/>
  <w15:chartTrackingRefBased/>
  <w15:docId w15:val="{A5EEF1FF-60D2-4BE9-AFF1-055875F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arika.wijata</dc:creator>
  <cp:keywords/>
  <dc:description/>
  <cp:lastModifiedBy>arika.wijata</cp:lastModifiedBy>
  <cp:revision>1</cp:revision>
  <dcterms:created xsi:type="dcterms:W3CDTF">2023-04-28T07:51:00Z</dcterms:created>
  <dcterms:modified xsi:type="dcterms:W3CDTF">2023-04-28T08:31:00Z</dcterms:modified>
</cp:coreProperties>
</file>